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 w:before="320"/>
      </w:pPr>
      <w:r>
        <w:rPr>
          <w:rFonts w:ascii="Calibri" w:cs="Calibri" w:eastAsia="Calibri" w:hAnsi="Calibri"/>
          <w:b/>
          <w:bCs/>
          <w:color w:val="1A1714"/>
          <w:sz w:val="40"/>
          <w:szCs w:val="40"/>
        </w:rPr>
        <w:t xml:space="preserve">TMS · Excel and Power BI for customer service analytics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TMS-CSA-1126   ·   16–19 November 2026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Monday to Thursday, 09:00–16:30. 25 hours in the room. 16 managers, in pairs.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Facilitated by Ahmad A. Khan.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Course outline and methodology.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For the sponsor, the managers, and the facilitator. No answer key in this document.</w:t>
      </w:r>
    </w:p>
    <w:p>
      <w:pPr>
        <w:pBdr>
          <w:bottom w:val="single" w:color="E0D6C8" w:sz="6" w:space="1"/>
        </w:pBdr>
        <w:spacing w:after="80" w:before="80"/>
      </w:pPr>
    </w:p>
    <w:p>
      <w:pPr>
        <w:pStyle w:val="Heading1"/>
        <w:spacing w:after="120" w:before="320"/>
      </w:pPr>
      <w:r>
        <w:rPr>
          <w:rFonts w:ascii="Calibri" w:cs="Calibri" w:eastAsia="Calibri" w:hAnsi="Calibri"/>
          <w:b/>
          <w:bCs/>
          <w:color w:val="1A1714"/>
          <w:sz w:val="32"/>
          <w:szCs w:val="32"/>
        </w:rPr>
        <w:t xml:space="preserve">1. Programme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7280"/>
      </w:tblGrid>
      <w:tr>
        <w:trPr>
          <w:tblHeader/>
        </w:trPr>
        <w:tc>
          <w:tcPr>
            <w:tcW w:type="dxa" w:w="28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shd w:fill="1A1714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3EEE6"/>
                <w:sz w:val="18"/>
                <w:szCs w:val="18"/>
              </w:rPr>
              <w:t xml:space="preserve">Item</w:t>
            </w:r>
          </w:p>
        </w:tc>
        <w:tc>
          <w:tcPr>
            <w:tcW w:type="dxa" w:w="728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shd w:fill="1A1714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3EEE6"/>
                <w:sz w:val="18"/>
                <w:szCs w:val="18"/>
              </w:rPr>
              <w:t xml:space="preserve">Detail</w:t>
            </w:r>
          </w:p>
        </w:tc>
      </w:tr>
      <w:tr>
        <w:tc>
          <w:tcPr>
            <w:tcW w:type="dxa" w:w="28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Code</w:t>
            </w:r>
          </w:p>
        </w:tc>
        <w:tc>
          <w:tcPr>
            <w:tcW w:type="dxa" w:w="728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TMS-CSA-1126</w:t>
            </w:r>
          </w:p>
        </w:tc>
      </w:tr>
      <w:tr>
        <w:tc>
          <w:tcPr>
            <w:tcW w:type="dxa" w:w="28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Title</w:t>
            </w:r>
          </w:p>
        </w:tc>
        <w:tc>
          <w:tcPr>
            <w:tcW w:type="dxa" w:w="728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Excel &amp; Power BI for Customer Service Analytics</w:t>
            </w:r>
          </w:p>
        </w:tc>
      </w:tr>
      <w:tr>
        <w:tc>
          <w:tcPr>
            <w:tcW w:type="dxa" w:w="28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Audience</w:t>
            </w:r>
          </w:p>
        </w:tc>
        <w:tc>
          <w:tcPr>
            <w:tcW w:type="dxa" w:w="728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Senior customer service managers. Not analysts, and not a new-hire class.</w:t>
            </w:r>
          </w:p>
        </w:tc>
      </w:tr>
      <w:tr>
        <w:tc>
          <w:tcPr>
            <w:tcW w:type="dxa" w:w="28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Facilitator</w:t>
            </w:r>
          </w:p>
        </w:tc>
        <w:tc>
          <w:tcPr>
            <w:tcW w:type="dxa" w:w="728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Ahmad A. Khan</w:t>
            </w:r>
          </w:p>
        </w:tc>
      </w:tr>
      <w:tr>
        <w:tc>
          <w:tcPr>
            <w:tcW w:type="dxa" w:w="28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Dates</w:t>
            </w:r>
          </w:p>
        </w:tc>
        <w:tc>
          <w:tcPr>
            <w:tcW w:type="dxa" w:w="728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16–19 November 2026. Monday to Thursday, 09:00–16:30.</w:t>
            </w:r>
          </w:p>
        </w:tc>
      </w:tr>
      <w:tr>
        <w:tc>
          <w:tcPr>
            <w:tcW w:type="dxa" w:w="28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Duration</w:t>
            </w:r>
          </w:p>
        </w:tc>
        <w:tc>
          <w:tcPr>
            <w:tcW w:type="dxa" w:w="728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25 hours in the room</w:t>
            </w:r>
          </w:p>
        </w:tc>
      </w:tr>
      <w:tr>
        <w:tc>
          <w:tcPr>
            <w:tcW w:type="dxa" w:w="28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Cohort</w:t>
            </w:r>
          </w:p>
        </w:tc>
        <w:tc>
          <w:tcPr>
            <w:tcW w:type="dxa" w:w="728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16 managers, in pairs</w:t>
            </w:r>
          </w:p>
        </w:tc>
      </w:tr>
      <w:tr>
        <w:tc>
          <w:tcPr>
            <w:tcW w:type="dxa" w:w="28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Mode</w:t>
            </w:r>
          </w:p>
        </w:tc>
        <w:tc>
          <w:tcPr>
            <w:tcW w:type="dxa" w:w="728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Instructor-led, in the room. Laptops open. One practice file for all four days.</w:t>
            </w:r>
          </w:p>
        </w:tc>
      </w:tr>
      <w:tr>
        <w:tc>
          <w:tcPr>
            <w:tcW w:type="dxa" w:w="28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Practice file</w:t>
            </w:r>
          </w:p>
        </w:tc>
        <w:tc>
          <w:tcPr>
            <w:tcW w:type="dxa" w:w="728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TMS Care, Q3 2026, as of 1 October 2026, 18:00 Asia/Qatar.</w:t>
            </w:r>
          </w:p>
        </w:tc>
      </w:tr>
      <w:tr>
        <w:tc>
          <w:tcPr>
            <w:tcW w:type="dxa" w:w="28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Promise in the file</w:t>
            </w:r>
          </w:p>
        </w:tc>
        <w:tc>
          <w:tcPr>
            <w:tcW w:type="dxa" w:w="728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80% of tickets resolved within target.</w:t>
            </w:r>
          </w:p>
        </w:tc>
      </w:tr>
    </w:tbl>
    <w:p>
      <w:pPr>
        <w:pStyle w:val="Heading1"/>
        <w:spacing w:after="120" w:before="320"/>
      </w:pPr>
      <w:r>
        <w:rPr>
          <w:rFonts w:ascii="Calibri" w:cs="Calibri" w:eastAsia="Calibri" w:hAnsi="Calibri"/>
          <w:b/>
          <w:bCs/>
          <w:color w:val="1A1714"/>
          <w:sz w:val="32"/>
          <w:szCs w:val="32"/>
        </w:rPr>
        <w:t xml:space="preserve">2. Aim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By Thursday afternoon each manager can take a messy service extract, tell the truth about it, and brief one decision: where service is slipping, why, who it hits, and what changes before next Monday.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Excel and Power BI are the instruments. The assessed product is a six-minute brief a director can use on Monday.</w:t>
      </w:r>
    </w:p>
    <w:p>
      <w:pPr>
        <w:pStyle w:val="Heading1"/>
        <w:spacing w:after="120" w:before="320"/>
      </w:pPr>
      <w:r>
        <w:rPr>
          <w:rFonts w:ascii="Calibri" w:cs="Calibri" w:eastAsia="Calibri" w:hAnsi="Calibri"/>
          <w:b/>
          <w:bCs/>
          <w:color w:val="1A1714"/>
          <w:sz w:val="32"/>
          <w:szCs w:val="32"/>
        </w:rPr>
        <w:t xml:space="preserve">3. Outcomes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By the end of Thursday, each manager can: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1. Write a service question a sheet can answer: metric, grain, window, and the decision it serves.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2. Trust-check a ticket log and flag bad rows without overwriting the extract.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3. Build an Excel summary of breach rate, reopen rate, and open work that is already late.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4. Read a complaint file: aging, upheld, and concentration — and refuse a remedy the counts do not support.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5. Join tickets, complaints, and surveys on the right key without double-counting.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6. Write a short set of Power BI measures you can say out loud, including NPS that does not treat silence as a score.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7. Design one page a director can read in two minutes.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8. Brief it: observation, evidence, what it does not prove, and the ask.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9. Set a weekly rhythm: who refreshes the extract, which three numbers stay, which three retire.</w:t>
      </w:r>
    </w:p>
    <w:p>
      <w:pPr>
        <w:pStyle w:val="Heading1"/>
        <w:spacing w:after="120" w:before="320"/>
      </w:pPr>
      <w:r>
        <w:rPr>
          <w:rFonts w:ascii="Calibri" w:cs="Calibri" w:eastAsia="Calibri" w:hAnsi="Calibri"/>
          <w:b/>
          <w:bCs/>
          <w:color w:val="1A1714"/>
          <w:sz w:val="32"/>
          <w:szCs w:val="32"/>
        </w:rPr>
        <w:t xml:space="preserve">4. Methodology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The method is fixed. A facilitator who turns this into a software tour has changed the course.</w:t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1A1714"/>
          <w:sz w:val="26"/>
          <w:szCs w:val="26"/>
        </w:rPr>
        <w:t xml:space="preserve">Question before the chart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Every exercise starts as four parts: metric, grain, window, and the decision it serves. “Learn pivot tables” is sent back. “Can you send me CSAT?” is rewritten before anyone builds a visual.</w:t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1A1714"/>
          <w:sz w:val="26"/>
          <w:szCs w:val="26"/>
        </w:rPr>
        <w:t xml:space="preserve">Lab before the explanation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Managers compute first. The debrief names the trap after the number is on their own screen. The facilitator does not preview the answer. A wrong chart is not mocked. The question is what decision it supports.</w:t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1A1714"/>
          <w:sz w:val="26"/>
          <w:szCs w:val="26"/>
        </w:rPr>
        <w:t xml:space="preserve">One file, four days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Monday trusts the extract and states the speed promise. Tuesday separates late work, repeat work, and complaints. Wednesday puts the same rows in a model other people can slice. Thursday is the brief. A second dataset mid-week resets the argument.</w:t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1A1714"/>
          <w:sz w:val="26"/>
          <w:szCs w:val="26"/>
        </w:rPr>
        <w:t xml:space="preserve">Pairs, assigned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Pairs are assigned, not chosen. Senior people hide in solo work. Critique is limited to four questions: what is the decision, what is the base, what did you exclude, what would change your mind. Praise and color advice are not questions.</w:t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1A1714"/>
          <w:sz w:val="26"/>
          <w:szCs w:val="26"/>
        </w:rPr>
        <w:t xml:space="preserve">Performance, not recall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Daily checks confirm the room can do the next lab. They are not the grade. The grade is the Thursday brief, scored against a rubric the room sees on Monday. Scores are private. This is not a ranking of managers.</w:t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1A1714"/>
          <w:sz w:val="26"/>
          <w:szCs w:val="26"/>
        </w:rPr>
        <w:t xml:space="preserve">A number has a base and a limit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Three failures are hunted on purpose: a blended rate that hides a bad hour, a score on a tiny base, and an agent standing in for a queue or a policy. The red team’s job is to break the number, not the person.</w:t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1A1714"/>
          <w:sz w:val="26"/>
          <w:szCs w:val="26"/>
        </w:rPr>
        <w:t xml:space="preserve">What this course does not claim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It does not prepare anyone for a Microsoft exam. It does not move NPS. It changes whether Monday’s conversation is about a real queue. Live customer data does not come into the room. The practice file may leave with a manager. Their customers’ rows may not.</w:t>
      </w:r>
    </w:p>
    <w:p>
      <w:pPr>
        <w:pStyle w:val="Heading1"/>
        <w:spacing w:after="120" w:before="320"/>
      </w:pPr>
      <w:r>
        <w:rPr>
          <w:rFonts w:ascii="Calibri" w:cs="Calibri" w:eastAsia="Calibri" w:hAnsi="Calibri"/>
          <w:b/>
          <w:bCs/>
          <w:color w:val="1A1714"/>
          <w:sz w:val="32"/>
          <w:szCs w:val="32"/>
        </w:rPr>
        <w:t xml:space="preserve">5. Who it is for, and what they need first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Senior managers who already own a queue and already send a Monday pack. They can use Excel. They do not need to have built a Power BI model.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1. Install Excel desktop (Microsoft 365) and Power BI Desktop. Open each one once, on the laptop you will bring.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2. Confirm you can save a file on that laptop. A locked-down machine is the usual failure, and it is not a Day 1 problem.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3. Read the definitions on the Brief. No other pre-reading.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4. Bring one question your director actually asked in the last month. Do not bring live customer data. Practice data stays in the room. Work data stays at work.</w:t>
      </w:r>
    </w:p>
    <w:p>
      <w:pPr>
        <w:pStyle w:val="Heading1"/>
        <w:spacing w:after="120" w:before="320"/>
      </w:pPr>
      <w:r>
        <w:rPr>
          <w:rFonts w:ascii="Calibri" w:cs="Calibri" w:eastAsia="Calibri" w:hAnsi="Calibri"/>
          <w:b/>
          <w:bCs/>
          <w:color w:val="1A1714"/>
          <w:sz w:val="32"/>
          <w:szCs w:val="32"/>
        </w:rPr>
        <w:t xml:space="preserve">6. Timetable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Lunch is 12:30–13:15. Monday to Wednesday break at 15:00. Thursday’s briefings run to 15:30.</w:t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1A1714"/>
          <w:sz w:val="26"/>
          <w:szCs w:val="26"/>
        </w:rPr>
        <w:t xml:space="preserve">Day 1 · Monday 16 Nov · The question before the chart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A chart without a decision is decoration. A dirty row makes the chart gossip.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Outcomes. Rewrite a vague leadership ask into metric, grain, window, and decision. Run the trust check on the ticket log and flag every failure. Build a queue summary: volume, breach rate, median hours — not one average.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400"/>
        <w:gridCol w:w="2800"/>
        <w:gridCol w:w="4380"/>
      </w:tblGrid>
      <w:tr>
        <w:trPr>
          <w:tblHeader/>
        </w:trPr>
        <w:tc>
          <w:tcPr>
            <w:tcW w:type="dxa" w:w="15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shd w:fill="1A1714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3EEE6"/>
                <w:sz w:val="18"/>
                <w:szCs w:val="18"/>
              </w:rPr>
              <w:t xml:space="preserve">Time</w:t>
            </w:r>
          </w:p>
        </w:tc>
        <w:tc>
          <w:tcPr>
            <w:tcW w:type="dxa" w:w="14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shd w:fill="1A1714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3EEE6"/>
                <w:sz w:val="18"/>
                <w:szCs w:val="18"/>
              </w:rPr>
              <w:t xml:space="preserve">Method</w:t>
            </w:r>
          </w:p>
        </w:tc>
        <w:tc>
          <w:tcPr>
            <w:tcW w:type="dxa" w:w="28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shd w:fill="1A1714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3EEE6"/>
                <w:sz w:val="18"/>
                <w:szCs w:val="18"/>
              </w:rPr>
              <w:t xml:space="preserve">Session</w:t>
            </w:r>
          </w:p>
        </w:tc>
        <w:tc>
          <w:tcPr>
            <w:tcW w:type="dxa" w:w="438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shd w:fill="1A1714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3EEE6"/>
                <w:sz w:val="18"/>
                <w:szCs w:val="18"/>
              </w:rPr>
              <w:t xml:space="preserve">Aim</w:t>
            </w:r>
          </w:p>
        </w:tc>
      </w:tr>
      <w:tr>
        <w:tc>
          <w:tcPr>
            <w:tcW w:type="dxa" w:w="15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09:00–09:30</w:t>
            </w:r>
          </w:p>
        </w:tc>
        <w:tc>
          <w:tcPr>
            <w:tcW w:type="dxa" w:w="14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Frame</w:t>
            </w:r>
          </w:p>
        </w:tc>
        <w:tc>
          <w:tcPr>
            <w:tcW w:type="dxa" w:w="28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The contract</w:t>
            </w:r>
          </w:p>
        </w:tc>
        <w:tc>
          <w:tcPr>
            <w:tcW w:type="dxa" w:w="438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Set the standard before anyone opens a file.</w:t>
            </w:r>
          </w:p>
        </w:tc>
      </w:tr>
      <w:tr>
        <w:tc>
          <w:tcPr>
            <w:tcW w:type="dxa" w:w="15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09:30–10:45</w:t>
            </w:r>
          </w:p>
        </w:tc>
        <w:tc>
          <w:tcPr>
            <w:tcW w:type="dxa" w:w="14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Frame</w:t>
            </w:r>
          </w:p>
        </w:tc>
        <w:tc>
          <w:tcPr>
            <w:tcW w:type="dxa" w:w="28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Rewrite the ask</w:t>
            </w:r>
          </w:p>
        </w:tc>
        <w:tc>
          <w:tcPr>
            <w:tcW w:type="dxa" w:w="438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Every person leaves with one question that has four parts.</w:t>
            </w:r>
          </w:p>
        </w:tc>
      </w:tr>
      <w:tr>
        <w:tc>
          <w:tcPr>
            <w:tcW w:type="dxa" w:w="15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11:00–12:30</w:t>
            </w:r>
          </w:p>
        </w:tc>
        <w:tc>
          <w:tcPr>
            <w:tcW w:type="dxa" w:w="14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Lab</w:t>
            </w:r>
          </w:p>
        </w:tc>
        <w:tc>
          <w:tcPr>
            <w:tcW w:type="dxa" w:w="28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Trust the extract</w:t>
            </w:r>
          </w:p>
        </w:tc>
        <w:tc>
          <w:tcPr>
            <w:tcW w:type="dxa" w:w="438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A Table named Tickets, five checks run, failures flagged in a new column, source cells untouched.</w:t>
            </w:r>
          </w:p>
        </w:tc>
      </w:tr>
      <w:tr>
        <w:tc>
          <w:tcPr>
            <w:tcW w:type="dxa" w:w="15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13:15–15:00</w:t>
            </w:r>
          </w:p>
        </w:tc>
        <w:tc>
          <w:tcPr>
            <w:tcW w:type="dxa" w:w="14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Lab</w:t>
            </w:r>
          </w:p>
        </w:tc>
        <w:tc>
          <w:tcPr>
            <w:tcW w:type="dxa" w:w="28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The first leadership table</w:t>
            </w:r>
          </w:p>
        </w:tc>
        <w:tc>
          <w:tcPr>
            <w:tcW w:type="dxa" w:w="438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One summary by queue and by channel: tickets, breach rate, median resolve hours, open, reopen rate.</w:t>
            </w:r>
          </w:p>
        </w:tc>
      </w:tr>
      <w:tr>
        <w:tc>
          <w:tcPr>
            <w:tcW w:type="dxa" w:w="15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15:15–16:30</w:t>
            </w:r>
          </w:p>
        </w:tc>
        <w:tc>
          <w:tcPr>
            <w:tcW w:type="dxa" w:w="14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Check</w:t>
            </w:r>
          </w:p>
        </w:tc>
        <w:tc>
          <w:tcPr>
            <w:tcW w:type="dxa" w:w="28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One number you trust</w:t>
            </w:r>
          </w:p>
        </w:tc>
        <w:tc>
          <w:tcPr>
            <w:tcW w:type="dxa" w:w="438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The room hears the standard for a debrief, then sits a short check.</w:t>
            </w:r>
          </w:p>
        </w:tc>
      </w:tr>
    </w:tbl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/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1A1714"/>
          <w:sz w:val="26"/>
          <w:szCs w:val="26"/>
        </w:rPr>
        <w:t xml:space="preserve">Day 2 · Tuesday 17 Nov · Where the work actually goes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Volume is not effort. The expensive work is the work that should not have existed.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Outcomes. Split the open pile into still inside the promise, and already late. Show that fee-copy work meets the clock and still comes back. Choose one complaint remedy and refuse the ones the counts do not support.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400"/>
        <w:gridCol w:w="2800"/>
        <w:gridCol w:w="4380"/>
      </w:tblGrid>
      <w:tr>
        <w:trPr>
          <w:tblHeader/>
        </w:trPr>
        <w:tc>
          <w:tcPr>
            <w:tcW w:type="dxa" w:w="15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shd w:fill="1A1714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3EEE6"/>
                <w:sz w:val="18"/>
                <w:szCs w:val="18"/>
              </w:rPr>
              <w:t xml:space="preserve">Time</w:t>
            </w:r>
          </w:p>
        </w:tc>
        <w:tc>
          <w:tcPr>
            <w:tcW w:type="dxa" w:w="14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shd w:fill="1A1714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3EEE6"/>
                <w:sz w:val="18"/>
                <w:szCs w:val="18"/>
              </w:rPr>
              <w:t xml:space="preserve">Method</w:t>
            </w:r>
          </w:p>
        </w:tc>
        <w:tc>
          <w:tcPr>
            <w:tcW w:type="dxa" w:w="28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shd w:fill="1A1714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3EEE6"/>
                <w:sz w:val="18"/>
                <w:szCs w:val="18"/>
              </w:rPr>
              <w:t xml:space="preserve">Session</w:t>
            </w:r>
          </w:p>
        </w:tc>
        <w:tc>
          <w:tcPr>
            <w:tcW w:type="dxa" w:w="438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shd w:fill="1A1714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3EEE6"/>
                <w:sz w:val="18"/>
                <w:szCs w:val="18"/>
              </w:rPr>
              <w:t xml:space="preserve">Aim</w:t>
            </w:r>
          </w:p>
        </w:tc>
      </w:tr>
      <w:tr>
        <w:tc>
          <w:tcPr>
            <w:tcW w:type="dxa" w:w="15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09:00–09:25</w:t>
            </w:r>
          </w:p>
        </w:tc>
        <w:tc>
          <w:tcPr>
            <w:tcW w:type="dxa" w:w="14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Clinic</w:t>
            </w:r>
          </w:p>
        </w:tc>
        <w:tc>
          <w:tcPr>
            <w:tcW w:type="dxa" w:w="28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Clinic, then the wrong remedy</w:t>
            </w:r>
          </w:p>
        </w:tc>
        <w:tc>
          <w:tcPr>
            <w:tcW w:type="dxa" w:w="438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Unblock yesterday without reteaching it, then aim the day at remedies.</w:t>
            </w:r>
          </w:p>
        </w:tc>
      </w:tr>
      <w:tr>
        <w:tc>
          <w:tcPr>
            <w:tcW w:type="dxa" w:w="15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09:25–10:45</w:t>
            </w:r>
          </w:p>
        </w:tc>
        <w:tc>
          <w:tcPr>
            <w:tcW w:type="dxa" w:w="14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Lab</w:t>
            </w:r>
          </w:p>
        </w:tc>
        <w:tc>
          <w:tcPr>
            <w:tcW w:type="dxa" w:w="28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The open pile is not one number</w:t>
            </w:r>
          </w:p>
        </w:tc>
        <w:tc>
          <w:tcPr>
            <w:tcW w:type="dxa" w:w="438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A split of open work: inside SLA at the as-of clock, versus already late. Plus inflow by week.</w:t>
            </w:r>
          </w:p>
        </w:tc>
      </w:tr>
      <w:tr>
        <w:tc>
          <w:tcPr>
            <w:tcW w:type="dxa" w:w="15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11:00–12:30</w:t>
            </w:r>
          </w:p>
        </w:tc>
        <w:tc>
          <w:tcPr>
            <w:tcW w:type="dxa" w:w="14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Lab</w:t>
            </w:r>
          </w:p>
        </w:tc>
        <w:tc>
          <w:tcPr>
            <w:tcW w:type="dxa" w:w="28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The work that came back</w:t>
            </w:r>
          </w:p>
        </w:tc>
        <w:tc>
          <w:tcPr>
            <w:tcW w:type="dxa" w:w="438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Reopen rate by queue, by reason, and by agent — in that order. Then repeat customers and transfers.</w:t>
            </w:r>
          </w:p>
        </w:tc>
      </w:tr>
      <w:tr>
        <w:tc>
          <w:tcPr>
            <w:tcW w:type="dxa" w:w="15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13:15–15:00</w:t>
            </w:r>
          </w:p>
        </w:tc>
        <w:tc>
          <w:tcPr>
            <w:tcW w:type="dxa" w:w="14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Lab</w:t>
            </w:r>
          </w:p>
        </w:tc>
        <w:tc>
          <w:tcPr>
            <w:tcW w:type="dxa" w:w="28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Complaints are a different object</w:t>
            </w:r>
          </w:p>
        </w:tc>
        <w:tc>
          <w:tcPr>
            <w:tcW w:type="dxa" w:w="438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A complaint summary — category, upheld, age — and a decision drill.</w:t>
            </w:r>
          </w:p>
        </w:tc>
      </w:tr>
      <w:tr>
        <w:tc>
          <w:tcPr>
            <w:tcW w:type="dxa" w:w="15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15:15–16:30</w:t>
            </w:r>
          </w:p>
        </w:tc>
        <w:tc>
          <w:tcPr>
            <w:tcW w:type="dxa" w:w="14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Check</w:t>
            </w:r>
          </w:p>
        </w:tc>
        <w:tc>
          <w:tcPr>
            <w:tcW w:type="dxa" w:w="28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What we stop reporting</w:t>
            </w:r>
          </w:p>
        </w:tc>
        <w:tc>
          <w:tcPr>
            <w:tcW w:type="dxa" w:w="438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Each manager retires a metric, in writing, with the replacement next to it.</w:t>
            </w:r>
          </w:p>
        </w:tc>
      </w:tr>
    </w:tbl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/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1A1714"/>
          <w:sz w:val="26"/>
          <w:szCs w:val="26"/>
        </w:rPr>
        <w:t xml:space="preserve">Day 3 · Wednesday 18 Nov · One model, three files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Excel answered the question once. Power BI is how the question stays answered when the file refreshes.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Outcomes. Relate tickets, surveys, and complaints without a many-to-many mess. Write six measures you can defend in a sentence, including a response rate beside CSAT. Leave with one page, titled as a sentence, that a director can read in two minutes.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400"/>
        <w:gridCol w:w="2800"/>
        <w:gridCol w:w="4380"/>
      </w:tblGrid>
      <w:tr>
        <w:trPr>
          <w:tblHeader/>
        </w:trPr>
        <w:tc>
          <w:tcPr>
            <w:tcW w:type="dxa" w:w="15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shd w:fill="1A1714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3EEE6"/>
                <w:sz w:val="18"/>
                <w:szCs w:val="18"/>
              </w:rPr>
              <w:t xml:space="preserve">Time</w:t>
            </w:r>
          </w:p>
        </w:tc>
        <w:tc>
          <w:tcPr>
            <w:tcW w:type="dxa" w:w="14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shd w:fill="1A1714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3EEE6"/>
                <w:sz w:val="18"/>
                <w:szCs w:val="18"/>
              </w:rPr>
              <w:t xml:space="preserve">Method</w:t>
            </w:r>
          </w:p>
        </w:tc>
        <w:tc>
          <w:tcPr>
            <w:tcW w:type="dxa" w:w="28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shd w:fill="1A1714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3EEE6"/>
                <w:sz w:val="18"/>
                <w:szCs w:val="18"/>
              </w:rPr>
              <w:t xml:space="preserve">Session</w:t>
            </w:r>
          </w:p>
        </w:tc>
        <w:tc>
          <w:tcPr>
            <w:tcW w:type="dxa" w:w="438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shd w:fill="1A1714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3EEE6"/>
                <w:sz w:val="18"/>
                <w:szCs w:val="18"/>
              </w:rPr>
              <w:t xml:space="preserve">Aim</w:t>
            </w:r>
          </w:p>
        </w:tc>
      </w:tr>
      <w:tr>
        <w:tc>
          <w:tcPr>
            <w:tcW w:type="dxa" w:w="15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09:00–09:25</w:t>
            </w:r>
          </w:p>
        </w:tc>
        <w:tc>
          <w:tcPr>
            <w:tcW w:type="dxa" w:w="14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Frame</w:t>
            </w:r>
          </w:p>
        </w:tc>
        <w:tc>
          <w:tcPr>
            <w:tcW w:type="dxa" w:w="28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What stays in Excel</w:t>
            </w:r>
          </w:p>
        </w:tc>
        <w:tc>
          <w:tcPr>
            <w:tcW w:type="dxa" w:w="438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Agree the handoff so nobody rebuilds Day 1 inside Power BI.</w:t>
            </w:r>
          </w:p>
        </w:tc>
      </w:tr>
      <w:tr>
        <w:tc>
          <w:tcPr>
            <w:tcW w:type="dxa" w:w="15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09:25–10:45</w:t>
            </w:r>
          </w:p>
        </w:tc>
        <w:tc>
          <w:tcPr>
            <w:tcW w:type="dxa" w:w="14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Lab</w:t>
            </w:r>
          </w:p>
        </w:tc>
        <w:tc>
          <w:tcPr>
            <w:tcW w:type="dxa" w:w="28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The model, not the canvas</w:t>
            </w:r>
          </w:p>
        </w:tc>
        <w:tc>
          <w:tcPr>
            <w:tcW w:type="dxa" w:w="438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Three tables, a calendar, and relationships a manager can draw from memory.</w:t>
            </w:r>
          </w:p>
        </w:tc>
      </w:tr>
      <w:tr>
        <w:tc>
          <w:tcPr>
            <w:tcW w:type="dxa" w:w="15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11:00–12:30</w:t>
            </w:r>
          </w:p>
        </w:tc>
        <w:tc>
          <w:tcPr>
            <w:tcW w:type="dxa" w:w="14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Lab</w:t>
            </w:r>
          </w:p>
        </w:tc>
        <w:tc>
          <w:tcPr>
            <w:tcW w:type="dxa" w:w="28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Six measures, said out loud</w:t>
            </w:r>
          </w:p>
        </w:tc>
        <w:tc>
          <w:tcPr>
            <w:tcW w:type="dxa" w:w="438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Each measure accepted only after the author can say it in one sentence.</w:t>
            </w:r>
          </w:p>
        </w:tc>
      </w:tr>
      <w:tr>
        <w:tc>
          <w:tcPr>
            <w:tcW w:type="dxa" w:w="15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13:15–15:00</w:t>
            </w:r>
          </w:p>
        </w:tc>
        <w:tc>
          <w:tcPr>
            <w:tcW w:type="dxa" w:w="14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Lab</w:t>
            </w:r>
          </w:p>
        </w:tc>
        <w:tc>
          <w:tcPr>
            <w:tcW w:type="dxa" w:w="28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One page</w:t>
            </w:r>
          </w:p>
        </w:tc>
        <w:tc>
          <w:tcPr>
            <w:tcW w:type="dxa" w:w="438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A single page a director can read without a tour.</w:t>
            </w:r>
          </w:p>
        </w:tc>
      </w:tr>
      <w:tr>
        <w:tc>
          <w:tcPr>
            <w:tcW w:type="dxa" w:w="15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15:15–16:30</w:t>
            </w:r>
          </w:p>
        </w:tc>
        <w:tc>
          <w:tcPr>
            <w:tcW w:type="dxa" w:w="14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Critique</w:t>
            </w:r>
          </w:p>
        </w:tc>
        <w:tc>
          <w:tcPr>
            <w:tcW w:type="dxa" w:w="28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Critique, with a narrow set of questions</w:t>
            </w:r>
          </w:p>
        </w:tc>
        <w:tc>
          <w:tcPr>
            <w:tcW w:type="dxa" w:w="438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Three pages on the projector. The room practices Thursday’s pressure without the score.</w:t>
            </w:r>
          </w:p>
        </w:tc>
      </w:tr>
    </w:tbl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/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1A1714"/>
          <w:sz w:val="26"/>
          <w:szCs w:val="26"/>
        </w:rPr>
        <w:t xml:space="preserve">Day 4 · Thursday 19 Nov · The Monday briefing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Finished means a skeptical peer cannot pull the number apart, and a director knows the ask.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Outcomes. Break a page on purpose: small n, blended SLA, agent standing in for a queue. Deliver a six-beat brief inside six minutes. Leave with a weekly rhythm and a private completion note.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400"/>
        <w:gridCol w:w="2800"/>
        <w:gridCol w:w="4380"/>
      </w:tblGrid>
      <w:tr>
        <w:trPr>
          <w:tblHeader/>
        </w:trPr>
        <w:tc>
          <w:tcPr>
            <w:tcW w:type="dxa" w:w="15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shd w:fill="1A1714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3EEE6"/>
                <w:sz w:val="18"/>
                <w:szCs w:val="18"/>
              </w:rPr>
              <w:t xml:space="preserve">Time</w:t>
            </w:r>
          </w:p>
        </w:tc>
        <w:tc>
          <w:tcPr>
            <w:tcW w:type="dxa" w:w="14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shd w:fill="1A1714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3EEE6"/>
                <w:sz w:val="18"/>
                <w:szCs w:val="18"/>
              </w:rPr>
              <w:t xml:space="preserve">Method</w:t>
            </w:r>
          </w:p>
        </w:tc>
        <w:tc>
          <w:tcPr>
            <w:tcW w:type="dxa" w:w="28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shd w:fill="1A1714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3EEE6"/>
                <w:sz w:val="18"/>
                <w:szCs w:val="18"/>
              </w:rPr>
              <w:t xml:space="preserve">Session</w:t>
            </w:r>
          </w:p>
        </w:tc>
        <w:tc>
          <w:tcPr>
            <w:tcW w:type="dxa" w:w="438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shd w:fill="1A1714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3EEE6"/>
                <w:sz w:val="18"/>
                <w:szCs w:val="18"/>
              </w:rPr>
              <w:t xml:space="preserve">Aim</w:t>
            </w:r>
          </w:p>
        </w:tc>
      </w:tr>
      <w:tr>
        <w:tc>
          <w:tcPr>
            <w:tcW w:type="dxa" w:w="15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09:00–09:20</w:t>
            </w:r>
          </w:p>
        </w:tc>
        <w:tc>
          <w:tcPr>
            <w:tcW w:type="dxa" w:w="14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Frame</w:t>
            </w:r>
          </w:p>
        </w:tc>
        <w:tc>
          <w:tcPr>
            <w:tcW w:type="dxa" w:w="28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The six beats</w:t>
            </w:r>
          </w:p>
        </w:tc>
        <w:tc>
          <w:tcPr>
            <w:tcW w:type="dxa" w:w="438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The brief has a shape, and they hear it before they build it.</w:t>
            </w:r>
          </w:p>
        </w:tc>
      </w:tr>
      <w:tr>
        <w:tc>
          <w:tcPr>
            <w:tcW w:type="dxa" w:w="15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09:20–10:45</w:t>
            </w:r>
          </w:p>
        </w:tc>
        <w:tc>
          <w:tcPr>
            <w:tcW w:type="dxa" w:w="14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Critique</w:t>
            </w:r>
          </w:p>
        </w:tc>
        <w:tc>
          <w:tcPr>
            <w:tcW w:type="dxa" w:w="28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Red team</w:t>
            </w:r>
          </w:p>
        </w:tc>
        <w:tc>
          <w:tcPr>
            <w:tcW w:type="dxa" w:w="438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Every page gets one hostile pass, and one repair.</w:t>
            </w:r>
          </w:p>
        </w:tc>
      </w:tr>
      <w:tr>
        <w:tc>
          <w:tcPr>
            <w:tcW w:type="dxa" w:w="15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11:00–12:30</w:t>
            </w:r>
          </w:p>
        </w:tc>
        <w:tc>
          <w:tcPr>
            <w:tcW w:type="dxa" w:w="14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Brief</w:t>
            </w:r>
          </w:p>
        </w:tc>
        <w:tc>
          <w:tcPr>
            <w:tcW w:type="dxa" w:w="28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Briefing studio</w:t>
            </w:r>
          </w:p>
        </w:tc>
        <w:tc>
          <w:tcPr>
            <w:tcW w:type="dxa" w:w="438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Ahmad models one full brief, then each pair drafts theirs on the six beats.</w:t>
            </w:r>
          </w:p>
        </w:tc>
      </w:tr>
      <w:tr>
        <w:tc>
          <w:tcPr>
            <w:tcW w:type="dxa" w:w="15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13:15–15:30</w:t>
            </w:r>
          </w:p>
        </w:tc>
        <w:tc>
          <w:tcPr>
            <w:tcW w:type="dxa" w:w="14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Brief</w:t>
            </w:r>
          </w:p>
        </w:tc>
        <w:tc>
          <w:tcPr>
            <w:tcW w:type="dxa" w:w="28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Briefings</w:t>
            </w:r>
          </w:p>
        </w:tc>
        <w:tc>
          <w:tcPr>
            <w:tcW w:type="dxa" w:w="438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Every manager speaks. Ahmad scores against the rubric during the brief, not after from memory.</w:t>
            </w:r>
          </w:p>
        </w:tc>
      </w:tr>
      <w:tr>
        <w:tc>
          <w:tcPr>
            <w:tcW w:type="dxa" w:w="15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15:40–16:30</w:t>
            </w:r>
          </w:p>
        </w:tc>
        <w:tc>
          <w:tcPr>
            <w:tcW w:type="dxa" w:w="14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Check</w:t>
            </w:r>
          </w:p>
        </w:tc>
        <w:tc>
          <w:tcPr>
            <w:tcW w:type="dxa" w:w="28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The rhythm, then the record</w:t>
            </w:r>
          </w:p>
        </w:tc>
        <w:tc>
          <w:tcPr>
            <w:tcW w:type="dxa" w:w="438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A one-page weekly rhythm, the feedback form, and the completion record.</w:t>
            </w:r>
          </w:p>
        </w:tc>
      </w:tr>
    </w:tbl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/>
      </w:r>
    </w:p>
    <w:p>
      <w:pPr>
        <w:pStyle w:val="Heading1"/>
        <w:spacing w:after="120" w:before="320"/>
      </w:pPr>
      <w:r>
        <w:rPr>
          <w:rFonts w:ascii="Calibri" w:cs="Calibri" w:eastAsia="Calibri" w:hAnsi="Calibri"/>
          <w:b/>
          <w:bCs/>
          <w:color w:val="1A1714"/>
          <w:sz w:val="32"/>
          <w:szCs w:val="32"/>
        </w:rPr>
        <w:t xml:space="preserve">7. Assessment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Formative checks, then one summative brief. The rubric is published before the first lab.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7280"/>
      </w:tblGrid>
      <w:tr>
        <w:trPr>
          <w:tblHeader/>
        </w:trPr>
        <w:tc>
          <w:tcPr>
            <w:tcW w:type="dxa" w:w="28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shd w:fill="1A1714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3EEE6"/>
                <w:sz w:val="18"/>
                <w:szCs w:val="18"/>
              </w:rPr>
              <w:t xml:space="preserve">When</w:t>
            </w:r>
          </w:p>
        </w:tc>
        <w:tc>
          <w:tcPr>
            <w:tcW w:type="dxa" w:w="728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shd w:fill="1A1714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3EEE6"/>
                <w:sz w:val="18"/>
                <w:szCs w:val="18"/>
              </w:rPr>
              <w:t xml:space="preserve">Standard</w:t>
            </w:r>
          </w:p>
        </w:tc>
      </w:tr>
      <w:tr>
        <w:tc>
          <w:tcPr>
            <w:tcW w:type="dxa" w:w="28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Monday check</w:t>
            </w:r>
          </w:p>
        </w:tc>
        <w:tc>
          <w:tcPr>
            <w:tcW w:type="dxa" w:w="728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6 of 8, plus a finished summary table.</w:t>
            </w:r>
          </w:p>
        </w:tc>
      </w:tr>
      <w:tr>
        <w:tc>
          <w:tcPr>
            <w:tcW w:type="dxa" w:w="28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Tuesday check</w:t>
            </w:r>
          </w:p>
        </w:tc>
        <w:tc>
          <w:tcPr>
            <w:tcW w:type="dxa" w:w="728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4 of 5, including a one-fix sentence.</w:t>
            </w:r>
          </w:p>
        </w:tc>
      </w:tr>
      <w:tr>
        <w:tc>
          <w:tcPr>
            <w:tcW w:type="dxa" w:w="28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Wednesday check</w:t>
            </w:r>
          </w:p>
        </w:tc>
        <w:tc>
          <w:tcPr>
            <w:tcW w:type="dxa" w:w="728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4 of 5, plus a page title that is a sentence.</w:t>
            </w:r>
          </w:p>
        </w:tc>
      </w:tr>
      <w:tr>
        <w:tc>
          <w:tcPr>
            <w:tcW w:type="dxa" w:w="28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Thursday red team</w:t>
            </w:r>
          </w:p>
        </w:tc>
        <w:tc>
          <w:tcPr>
            <w:tcW w:type="dxa" w:w="728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All four items attempted, in writing, before the brief.</w:t>
            </w:r>
          </w:p>
        </w:tc>
      </w:tr>
      <w:tr>
        <w:tc>
          <w:tcPr>
            <w:tcW w:type="dxa" w:w="28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Thursday brief</w:t>
            </w:r>
          </w:p>
        </w:tc>
        <w:tc>
          <w:tcPr>
            <w:tcW w:type="dxa" w:w="728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Scored live. Met is 70. Distinction is 85, and only if the red team failed to break the core number.</w:t>
            </w:r>
          </w:p>
        </w:tc>
      </w:tr>
      <w:tr>
        <w:tc>
          <w:tcPr>
            <w:tcW w:type="dxa" w:w="28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Attendance</w:t>
            </w:r>
          </w:p>
        </w:tc>
        <w:tc>
          <w:tcPr>
            <w:tcW w:type="dxa" w:w="728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In the room for both lab blocks. A missed lab is a partial. The file is due by 18:00 that day.</w:t>
            </w:r>
          </w:p>
        </w:tc>
      </w:tr>
      <w:tr>
        <w:tc>
          <w:tcPr>
            <w:tcW w:type="dxa" w:w="280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Not completed</w:t>
            </w:r>
          </w:p>
        </w:tc>
        <w:tc>
          <w:tcPr>
            <w:tcW w:type="dxa" w:w="7280"/>
            <w:tcBorders>
              <w:top w:val="single" w:color="E0D6C8" w:sz="4"/>
              <w:left w:val="single" w:color="E0D6C8" w:sz="4"/>
              <w:bottom w:val="single" w:color="E0D6C8" w:sz="4"/>
              <w:right w:val="single" w:color="E0D6C8" w:sz="4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A1714"/>
                <w:sz w:val="18"/>
                <w:szCs w:val="18"/>
              </w:rPr>
              <w:t xml:space="preserve">Three partials, or a full day with no file. Or a brief under 70.</w:t>
            </w:r>
          </w:p>
        </w:tc>
      </w:tr>
    </w:tbl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/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Brief rubric. Weights sum to 100.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Question — 20. Metric, grain, window, and decision are all present.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Evidence — 25. The number matches the file. The base is stated. Exclusions are named.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Judgment — 20. Separates queue, agent, and policy. Refuses a story sitting on a tiny base.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Ask — 20. One action, one owner, one number to watch, and a date.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Craft — 15. The page can be read in two minutes. No decorative charts.</w:t>
      </w:r>
    </w:p>
    <w:p>
      <w:pPr>
        <w:pStyle w:val="Heading1"/>
        <w:spacing w:after="120" w:before="320"/>
      </w:pPr>
      <w:r>
        <w:rPr>
          <w:rFonts w:ascii="Calibri" w:cs="Calibri" w:eastAsia="Calibri" w:hAnsi="Calibri"/>
          <w:b/>
          <w:bCs/>
          <w:color w:val="1A1714"/>
          <w:sz w:val="32"/>
          <w:szCs w:val="32"/>
        </w:rPr>
        <w:t xml:space="preserve">8. Materials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Participant pack, on the shared drive:</w:t>
      </w:r>
    </w:p>
    <w:p>
      <w:pPr>
        <w:spacing w:after="80"/>
      </w:pPr>
      <w:r>
        <w:rPr>
          <w:rFonts w:ascii="Calibri" w:cs="Calibri" w:eastAsia="Calibri" w:hAnsi="Calibri"/>
          <w:color w:val="1A1714"/>
          <w:sz w:val="22"/>
          <w:szCs w:val="22"/>
        </w:rPr>
        <w:t xml:space="preserve">–  Course outline (this document).</w:t>
      </w:r>
    </w:p>
    <w:p>
      <w:pPr>
        <w:spacing w:after="80"/>
      </w:pPr>
      <w:r>
        <w:rPr>
          <w:rFonts w:ascii="Calibri" w:cs="Calibri" w:eastAsia="Calibri" w:hAnsi="Calibri"/>
          <w:color w:val="1A1714"/>
          <w:sz w:val="22"/>
          <w:szCs w:val="22"/>
        </w:rPr>
        <w:t xml:space="preserve">–  Participant manual.</w:t>
      </w:r>
    </w:p>
    <w:p>
      <w:pPr>
        <w:spacing w:after="80"/>
      </w:pPr>
      <w:r>
        <w:rPr>
          <w:rFonts w:ascii="Calibri" w:cs="Calibri" w:eastAsia="Calibri" w:hAnsi="Calibri"/>
          <w:color w:val="1A1714"/>
          <w:sz w:val="22"/>
          <w:szCs w:val="22"/>
        </w:rPr>
        <w:t xml:space="preserve">–  Course slides, editable PowerPoint. No answer key on the slides or in the notes.</w:t>
      </w:r>
    </w:p>
    <w:p>
      <w:pPr>
        <w:spacing w:after="80"/>
      </w:pPr>
      <w:r>
        <w:rPr>
          <w:rFonts w:ascii="Calibri" w:cs="Calibri" w:eastAsia="Calibri" w:hAnsi="Calibri"/>
          <w:color w:val="1A1714"/>
          <w:sz w:val="22"/>
          <w:szCs w:val="22"/>
        </w:rPr>
        <w:t xml:space="preserve">–  TMS-Care-Practice.xlsx. Excel practice file and the Power BI source. There is no finished report.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Faculty desk only. Not on the shared drive:</w:t>
      </w:r>
    </w:p>
    <w:p>
      <w:pPr>
        <w:spacing w:after="80"/>
      </w:pPr>
      <w:r>
        <w:rPr>
          <w:rFonts w:ascii="Calibri" w:cs="Calibri" w:eastAsia="Calibri" w:hAnsi="Calibri"/>
          <w:color w:val="1A1714"/>
          <w:sz w:val="22"/>
          <w:szCs w:val="22"/>
        </w:rPr>
        <w:t xml:space="preserve">–  Facilitator guide, with the answer key, the check key, and the formulas.</w:t>
      </w:r>
    </w:p>
    <w:p>
      <w:pPr>
        <w:spacing w:after="80"/>
      </w:pPr>
      <w:r>
        <w:rPr>
          <w:rFonts w:ascii="Calibri" w:cs="Calibri" w:eastAsia="Calibri" w:hAnsi="Calibri"/>
          <w:color w:val="1A1714"/>
          <w:sz w:val="22"/>
          <w:szCs w:val="22"/>
        </w:rPr>
        <w:t xml:space="preserve">–  Facilitator slides. Same deck, plus speaker notes and a final section marked do not project.</w:t>
      </w:r>
    </w:p>
    <w:p>
      <w:pPr>
        <w:spacing w:after="80"/>
      </w:pPr>
      <w:r>
        <w:rPr>
          <w:rFonts w:ascii="Calibri" w:cs="Calibri" w:eastAsia="Calibri" w:hAnsi="Calibri"/>
          <w:color w:val="1A1714"/>
          <w:sz w:val="22"/>
          <w:szCs w:val="22"/>
        </w:rPr>
        <w:t xml:space="preserve">–  TMS-Care-Answer.xlsx. Formulas already filled. Faculty only.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Room:</w:t>
      </w:r>
    </w:p>
    <w:p>
      <w:pPr>
        <w:spacing w:after="80"/>
      </w:pPr>
      <w:r>
        <w:rPr>
          <w:rFonts w:ascii="Calibri" w:cs="Calibri" w:eastAsia="Calibri" w:hAnsi="Calibri"/>
          <w:color w:val="1A1714"/>
          <w:sz w:val="22"/>
          <w:szCs w:val="22"/>
        </w:rPr>
        <w:t xml:space="preserve">–  Room for 16, seated in pairs, not in rows</w:t>
      </w:r>
    </w:p>
    <w:p>
      <w:pPr>
        <w:spacing w:after="80"/>
      </w:pPr>
      <w:r>
        <w:rPr>
          <w:rFonts w:ascii="Calibri" w:cs="Calibri" w:eastAsia="Calibri" w:hAnsi="Calibri"/>
          <w:color w:val="1A1714"/>
          <w:sz w:val="22"/>
          <w:szCs w:val="22"/>
        </w:rPr>
        <w:t xml:space="preserve">–  Power at every seat, and a spare laptop with both apps</w:t>
      </w:r>
    </w:p>
    <w:p>
      <w:pPr>
        <w:spacing w:after="80"/>
      </w:pPr>
      <w:r>
        <w:rPr>
          <w:rFonts w:ascii="Calibri" w:cs="Calibri" w:eastAsia="Calibri" w:hAnsi="Calibri"/>
          <w:color w:val="1A1714"/>
          <w:sz w:val="22"/>
          <w:szCs w:val="22"/>
        </w:rPr>
        <w:t xml:space="preserve">–  Projector Ahmad can use while they work</w:t>
      </w:r>
    </w:p>
    <w:p>
      <w:pPr>
        <w:spacing w:after="80"/>
      </w:pPr>
      <w:r>
        <w:rPr>
          <w:rFonts w:ascii="Calibri" w:cs="Calibri" w:eastAsia="Calibri" w:hAnsi="Calibri"/>
          <w:color w:val="1A1714"/>
          <w:sz w:val="22"/>
          <w:szCs w:val="22"/>
        </w:rPr>
        <w:t xml:space="preserve">–  Printed: question card, decision drill, rubric, data dictionary</w:t>
      </w:r>
    </w:p>
    <w:p>
      <w:pPr>
        <w:spacing w:after="80"/>
      </w:pPr>
      <w:r>
        <w:rPr>
          <w:rFonts w:ascii="Calibri" w:cs="Calibri" w:eastAsia="Calibri" w:hAnsi="Calibri"/>
          <w:color w:val="1A1714"/>
          <w:sz w:val="22"/>
          <w:szCs w:val="22"/>
        </w:rPr>
        <w:t xml:space="preserve">–  Shared drive: outline, participant manual, course slides, practice workbook. Facilitator guide, facilitator slides, and the answer workbook stay off it.</w:t>
      </w:r>
    </w:p>
    <w:p>
      <w:pPr>
        <w:spacing w:after="80"/>
      </w:pPr>
      <w:r>
        <w:rPr>
          <w:rFonts w:ascii="Calibri" w:cs="Calibri" w:eastAsia="Calibri" w:hAnsi="Calibri"/>
          <w:color w:val="1A1714"/>
          <w:sz w:val="22"/>
          <w:szCs w:val="22"/>
        </w:rPr>
        <w:t xml:space="preserve">–  Name tents. Queue they own, not job title.</w:t>
      </w:r>
    </w:p>
    <w:p>
      <w:pPr>
        <w:spacing w:after="80"/>
      </w:pPr>
      <w:r>
        <w:rPr>
          <w:rFonts w:ascii="Calibri" w:cs="Calibri" w:eastAsia="Calibri" w:hAnsi="Calibri"/>
          <w:color w:val="1A1714"/>
          <w:sz w:val="22"/>
          <w:szCs w:val="22"/>
        </w:rPr>
        <w:t xml:space="preserve">–  A visible clock for Thursday’s six minutes</w:t>
      </w:r>
    </w:p>
    <w:p>
      <w:pPr>
        <w:spacing w:after="80"/>
      </w:pPr>
      <w:r>
        <w:rPr>
          <w:rFonts w:ascii="Calibri" w:cs="Calibri" w:eastAsia="Calibri" w:hAnsi="Calibri"/>
          <w:color w:val="1A1714"/>
          <w:sz w:val="22"/>
          <w:szCs w:val="22"/>
        </w:rPr>
        <w:t xml:space="preserve">–  Pre-work sent ten days prior, including the software check</w:t>
      </w:r>
    </w:p>
    <w:p>
      <w:pPr>
        <w:pStyle w:val="Heading1"/>
        <w:spacing w:after="120" w:before="320"/>
      </w:pPr>
      <w:r>
        <w:rPr>
          <w:rFonts w:ascii="Calibri" w:cs="Calibri" w:eastAsia="Calibri" w:hAnsi="Calibri"/>
          <w:b/>
          <w:bCs/>
          <w:color w:val="1A1714"/>
          <w:sz w:val="32"/>
          <w:szCs w:val="32"/>
        </w:rPr>
        <w:t xml:space="preserve">9. How the course is judged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Same-day feedback. The first item Ahmad reads is what the manager will use in 14 days.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Sponsor note, the next morning, one page: attendance, how many met, three patterns in the briefs, two changes for the next run. No quotes by name.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Do not report a change in the company’s NPS. Report whether the briefs named a queue, a base, and one ask.</w:t>
      </w:r>
    </w:p>
    <w:p>
      <w:pPr>
        <w:pStyle w:val="Heading1"/>
        <w:spacing w:after="120" w:before="320"/>
      </w:pPr>
      <w:r>
        <w:rPr>
          <w:rFonts w:ascii="Calibri" w:cs="Calibri" w:eastAsia="Calibri" w:hAnsi="Calibri"/>
          <w:b/>
          <w:bCs/>
          <w:color w:val="1A1714"/>
          <w:sz w:val="32"/>
          <w:szCs w:val="32"/>
        </w:rPr>
        <w:t xml:space="preserve">10. Facilitator standard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Ahmad A. Khan runs the room. The standard is delivery, not charisma.</w:t>
      </w:r>
    </w:p>
    <w:p>
      <w:pPr>
        <w:spacing w:after="80"/>
      </w:pPr>
      <w:r>
        <w:rPr>
          <w:rFonts w:ascii="Calibri" w:cs="Calibri" w:eastAsia="Calibri" w:hAnsi="Calibri"/>
          <w:color w:val="1A1714"/>
          <w:sz w:val="22"/>
          <w:szCs w:val="22"/>
        </w:rPr>
        <w:t xml:space="preserve">–  No energisers. No fun-fact openers. The work starts.</w:t>
      </w:r>
    </w:p>
    <w:p>
      <w:pPr>
        <w:spacing w:after="80"/>
      </w:pPr>
      <w:r>
        <w:rPr>
          <w:rFonts w:ascii="Calibri" w:cs="Calibri" w:eastAsia="Calibri" w:hAnsi="Calibri"/>
          <w:color w:val="1A1714"/>
          <w:sz w:val="22"/>
          <w:szCs w:val="22"/>
        </w:rPr>
        <w:t xml:space="preserve">–  The first answer is usually status. Wait. Ask for the number.</w:t>
      </w:r>
    </w:p>
    <w:p>
      <w:pPr>
        <w:spacing w:after="80"/>
      </w:pPr>
      <w:r>
        <w:rPr>
          <w:rFonts w:ascii="Calibri" w:cs="Calibri" w:eastAsia="Calibri" w:hAnsi="Calibri"/>
          <w:color w:val="1A1714"/>
          <w:sz w:val="22"/>
          <w:szCs w:val="22"/>
        </w:rPr>
        <w:t xml:space="preserve">–  If someone says they already have a dashboard, agree — and ask them to reconcile it to this file in twenty minutes.</w:t>
      </w:r>
    </w:p>
    <w:p>
      <w:pPr>
        <w:spacing w:after="80"/>
      </w:pPr>
      <w:r>
        <w:rPr>
          <w:rFonts w:ascii="Calibri" w:cs="Calibri" w:eastAsia="Calibri" w:hAnsi="Calibri"/>
          <w:color w:val="1A1714"/>
          <w:sz w:val="22"/>
          <w:szCs w:val="22"/>
        </w:rPr>
        <w:t xml:space="preserve">–  Never mock a wrong chart. Ask what decision it supports.</w:t>
      </w:r>
    </w:p>
    <w:p>
      <w:pPr>
        <w:spacing w:after="80"/>
      </w:pPr>
      <w:r>
        <w:rPr>
          <w:rFonts w:ascii="Calibri" w:cs="Calibri" w:eastAsia="Calibri" w:hAnsi="Calibri"/>
          <w:color w:val="1A1714"/>
          <w:sz w:val="22"/>
          <w:szCs w:val="22"/>
        </w:rPr>
        <w:t xml:space="preserve">–  Protect the quiet ones in critique. Fast talk is not evidence.</w:t>
      </w:r>
    </w:p>
    <w:p>
      <w:pPr>
        <w:spacing w:after="80"/>
      </w:pPr>
      <w:r>
        <w:rPr>
          <w:rFonts w:ascii="Calibri" w:cs="Calibri" w:eastAsia="Calibri" w:hAnsi="Calibri"/>
          <w:color w:val="1A1714"/>
          <w:sz w:val="22"/>
          <w:szCs w:val="22"/>
        </w:rPr>
        <w:t xml:space="preserve">–  Timebox formatting. Call the freeze at the posted minute.</w:t>
      </w:r>
    </w:p>
    <w:p>
      <w:pPr>
        <w:spacing w:after="80"/>
      </w:pPr>
      <w:r>
        <w:rPr>
          <w:rFonts w:ascii="Calibri" w:cs="Calibri" w:eastAsia="Calibri" w:hAnsi="Calibri"/>
          <w:color w:val="1A1714"/>
          <w:sz w:val="22"/>
          <w:szCs w:val="22"/>
        </w:rPr>
        <w:t xml:space="preserve">–  Clinic is at the side table, ten minutes, the next morning. Do not remediate in public.</w:t>
      </w:r>
    </w:p>
    <w:p>
      <w:pPr>
        <w:spacing w:after="80"/>
      </w:pPr>
      <w:r>
        <w:rPr>
          <w:rFonts w:ascii="Calibri" w:cs="Calibri" w:eastAsia="Calibri" w:hAnsi="Calibri"/>
          <w:color w:val="1A1714"/>
          <w:sz w:val="22"/>
          <w:szCs w:val="22"/>
        </w:rPr>
        <w:t xml:space="preserve">–  Language stays spoken. No leverage, no synergy, no journey. Say what the number does.</w:t>
      </w:r>
    </w:p>
    <w:p>
      <w:pPr>
        <w:spacing w:after="14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714"/>
          <w:sz w:val="22"/>
          <w:szCs w:val="22"/>
        </w:rPr>
        <w:t xml:space="preserve">Ratio is one facilitator to sixteen managers. A second person is useful on Wednesday only if Power BI installs fail. They do not reteach the morning.</w:t>
      </w:r>
    </w:p>
    <w:sectPr>
      <w:headerReference w:type="default" r:id="rId6"/>
      <w:footerReference w:type="default" r:id="rId7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Calibri" w:cs="Calibri" w:eastAsia="Calibri" w:hAnsi="Calibri"/>
        <w:color w:val="5C6560"/>
        <w:sz w:val="16"/>
        <w:szCs w:val="16"/>
      </w:rPr>
      <w:t xml:space="preserve">TMS  ·  Ahmad A. Khan  ·  November 2026     </w:t>
    </w:r>
    <w:r>
      <w:rPr>
        <w:rFonts w:ascii="Calibri" w:cs="Calibri" w:eastAsia="Calibri" w:hAnsi="Calibri"/>
        <w:color w:val="5C6560"/>
        <w:sz w:val="16"/>
        <w:szCs w:val="16"/>
      </w:rPr>
      <w:fldChar w:fldCharType="begin"/>
    </w:r>
    <w:r>
      <w:rPr>
        <w:rFonts w:ascii="Calibri" w:cs="Calibri" w:eastAsia="Calibri" w:hAnsi="Calibri"/>
        <w:color w:val="5C6560"/>
        <w:sz w:val="16"/>
        <w:szCs w:val="16"/>
      </w:rPr>
      <w:instrText xml:space="preserve">PAGE</w:instrText>
    </w:r>
    <w:r>
      <w:rPr>
        <w:rFonts w:ascii="Calibri" w:cs="Calibri" w:eastAsia="Calibri" w:hAnsi="Calibri"/>
        <w:color w:val="5C6560"/>
        <w:sz w:val="16"/>
        <w:szCs w:val="16"/>
      </w:rPr>
      <w:fldChar w:fldCharType="separate"/>
    </w:r>
    <w:r>
      <w:rPr>
        <w:rFonts w:ascii="Calibri" w:cs="Calibri" w:eastAsia="Calibri" w:hAnsi="Calibri"/>
        <w:color w:val="5C656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Calibri" w:cs="Calibri" w:eastAsia="Calibri" w:hAnsi="Calibri"/>
        <w:b/>
        <w:bCs/>
        <w:color w:val="B5522A"/>
        <w:sz w:val="16"/>
        <w:szCs w:val="16"/>
      </w:rPr>
      <w:t xml:space="preserve">TMS-CSA-1126  ·  Course outline and methodology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TMS-CSA-1126 course outline</dc:title>
  <dc:creator>Ahmad A. Khan</dc:creator>
  <dc:description>Course outline and methodology. No answer key.</dc:description>
  <cp:lastModifiedBy>Un-named</cp:lastModifiedBy>
  <cp:revision>1</cp:revision>
  <dcterms:created xsi:type="dcterms:W3CDTF">2026-10-24T14:22:51.317Z</dcterms:created>
  <dcterms:modified xsi:type="dcterms:W3CDTF">2026-10-24T14:22:51.318Z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